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eastAsia="宋体" w:cs="宋体"/>
          <w:lang w:val="en-US" w:eastAsia="zh-CN"/>
        </w:rPr>
      </w:pPr>
      <w:r>
        <w:rPr>
          <w:rFonts w:hint="eastAsia" w:ascii="宋体" w:hAnsi="宋体" w:eastAsia="宋体" w:cs="宋体"/>
        </w:rPr>
        <w:t>股票代码：002871             股票简称:伟隆股份            公告编号：202</w:t>
      </w:r>
      <w:r>
        <w:rPr>
          <w:rFonts w:hint="default" w:ascii="宋体" w:hAnsi="宋体" w:eastAsia="宋体" w:cs="宋体"/>
          <w:lang w:val="en-US" w:eastAsia="zh-CN"/>
        </w:rPr>
        <w:t>4</w:t>
      </w:r>
      <w:r>
        <w:rPr>
          <w:rFonts w:hint="eastAsia" w:ascii="宋体" w:hAnsi="宋体" w:eastAsia="宋体" w:cs="宋体"/>
          <w:highlight w:val="none"/>
        </w:rPr>
        <w:t>-</w:t>
      </w:r>
      <w:r>
        <w:rPr>
          <w:rFonts w:hint="eastAsia" w:ascii="宋体" w:hAnsi="宋体" w:eastAsia="宋体" w:cs="宋体"/>
          <w:highlight w:val="none"/>
          <w:lang w:val="en-US" w:eastAsia="zh-CN"/>
        </w:rPr>
        <w:t>0</w:t>
      </w:r>
      <w:r>
        <w:rPr>
          <w:rFonts w:hint="default" w:ascii="宋体" w:hAnsi="宋体" w:eastAsia="宋体" w:cs="宋体"/>
          <w:highlight w:val="none"/>
          <w:lang w:val="en-US" w:eastAsia="zh-CN"/>
        </w:rPr>
        <w:t>12</w:t>
      </w:r>
    </w:p>
    <w:p>
      <w:pPr>
        <w:spacing w:after="156" w:afterLines="50" w:line="480" w:lineRule="exact"/>
        <w:jc w:val="center"/>
        <w:rPr>
          <w:rFonts w:hint="eastAsia" w:ascii="宋体" w:hAnsi="宋体" w:eastAsia="宋体" w:cs="宋体"/>
          <w:b/>
          <w:bCs/>
          <w:sz w:val="28"/>
          <w:szCs w:val="28"/>
        </w:rPr>
      </w:pPr>
      <w:r>
        <w:rPr>
          <w:rFonts w:hint="eastAsia" w:ascii="宋体" w:hAnsi="宋体" w:eastAsia="宋体" w:cs="宋体"/>
          <w:b/>
          <w:bCs/>
          <w:sz w:val="28"/>
          <w:szCs w:val="28"/>
        </w:rPr>
        <w:t>青岛伟隆阀门股份有限公司</w:t>
      </w:r>
    </w:p>
    <w:p>
      <w:pPr>
        <w:spacing w:after="156" w:afterLines="50" w:line="480" w:lineRule="exact"/>
        <w:jc w:val="center"/>
        <w:rPr>
          <w:rFonts w:hint="eastAsia" w:ascii="宋体" w:hAnsi="宋体" w:eastAsia="宋体" w:cs="宋体"/>
          <w:b/>
          <w:bCs/>
          <w:sz w:val="28"/>
          <w:szCs w:val="28"/>
        </w:rPr>
      </w:pPr>
      <w:r>
        <w:rPr>
          <w:rFonts w:hint="default" w:ascii="宋体" w:hAnsi="宋体" w:eastAsia="宋体" w:cs="宋体"/>
          <w:b/>
          <w:bCs/>
          <w:sz w:val="28"/>
          <w:szCs w:val="28"/>
          <w:lang w:val="en-US" w:eastAsia="zh-CN"/>
        </w:rPr>
        <w:t>2024年第一次临</w:t>
      </w:r>
      <w:r>
        <w:rPr>
          <w:rFonts w:hint="eastAsia" w:ascii="宋体" w:hAnsi="宋体" w:eastAsia="宋体" w:cs="宋体"/>
          <w:b/>
          <w:bCs/>
          <w:sz w:val="28"/>
          <w:szCs w:val="28"/>
        </w:rPr>
        <w:t>时股东大会决议的公告</w:t>
      </w:r>
    </w:p>
    <w:p>
      <w:pPr>
        <w:pStyle w:val="20"/>
        <w:spacing w:after="156" w:afterLines="50"/>
        <w:rPr>
          <w:rFonts w:hint="eastAsia" w:ascii="宋体" w:hAnsi="宋体" w:eastAsia="宋体" w:cs="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26" w:hRule="atLeast"/>
          <w:jc w:val="center"/>
        </w:trPr>
        <w:tc>
          <w:tcPr>
            <w:tcW w:w="8019" w:type="dxa"/>
            <w:noWrap w:val="0"/>
            <w:vAlign w:val="top"/>
          </w:tcPr>
          <w:p>
            <w:pPr>
              <w:pStyle w:val="20"/>
              <w:spacing w:after="156" w:afterLines="50"/>
              <w:ind w:left="-2" w:leftChars="-1" w:right="-218" w:rightChars="-104" w:firstLine="475" w:firstLineChars="198"/>
              <w:rPr>
                <w:rFonts w:hint="eastAsia" w:ascii="宋体" w:hAnsi="宋体" w:eastAsia="宋体" w:cs="宋体"/>
                <w:bCs/>
                <w:color w:val="auto"/>
              </w:rPr>
            </w:pPr>
            <w:r>
              <w:rPr>
                <w:rFonts w:hint="eastAsia" w:ascii="宋体" w:hAnsi="宋体" w:eastAsia="宋体" w:cs="宋体"/>
                <w:bCs/>
                <w:color w:val="auto"/>
              </w:rPr>
              <w:t xml:space="preserve">本公司及董事会全体成员保证信息披露的内容真实、准确、完整，没有虚假记载、误导性陈述或重大遗漏。 </w:t>
            </w:r>
          </w:p>
        </w:tc>
      </w:tr>
    </w:tbl>
    <w:p>
      <w:pPr>
        <w:pStyle w:val="20"/>
        <w:spacing w:after="156" w:afterLines="5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spacing w:after="156" w:afterLines="50" w:line="480" w:lineRule="exact"/>
        <w:rPr>
          <w:rFonts w:hint="eastAsia" w:ascii="宋体" w:hAnsi="宋体" w:eastAsia="宋体" w:cs="宋体"/>
          <w:b/>
          <w:sz w:val="24"/>
        </w:rPr>
      </w:pPr>
      <w:r>
        <w:rPr>
          <w:rFonts w:hint="eastAsia" w:ascii="宋体" w:hAnsi="宋体" w:eastAsia="宋体" w:cs="宋体"/>
          <w:b/>
          <w:sz w:val="24"/>
        </w:rPr>
        <w:t>重要内容提示：</w:t>
      </w:r>
    </w:p>
    <w:p>
      <w:pPr>
        <w:spacing w:after="156" w:afterLines="50" w:line="480" w:lineRule="exact"/>
        <w:rPr>
          <w:rFonts w:hint="eastAsia" w:ascii="宋体" w:hAnsi="宋体" w:eastAsia="宋体" w:cs="宋体"/>
          <w:sz w:val="24"/>
        </w:rPr>
      </w:pPr>
      <w:r>
        <w:rPr>
          <w:rFonts w:hint="eastAsia" w:ascii="宋体" w:hAnsi="宋体" w:eastAsia="宋体" w:cs="宋体"/>
          <w:sz w:val="24"/>
        </w:rPr>
        <w:t xml:space="preserve"> 1、本次股东大会没有出现否决议案的情形； </w:t>
      </w:r>
    </w:p>
    <w:p>
      <w:pPr>
        <w:spacing w:after="156" w:afterLines="50" w:line="480" w:lineRule="exact"/>
        <w:rPr>
          <w:rFonts w:hint="eastAsia" w:ascii="宋体" w:hAnsi="宋体" w:eastAsia="宋体" w:cs="宋体"/>
          <w:sz w:val="24"/>
        </w:rPr>
      </w:pPr>
      <w:r>
        <w:rPr>
          <w:rFonts w:hint="eastAsia" w:ascii="宋体" w:hAnsi="宋体" w:eastAsia="宋体" w:cs="宋体"/>
          <w:sz w:val="24"/>
        </w:rPr>
        <w:t xml:space="preserve"> 2、本次股东大会不涉及变更前次股东大会决议。</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一、会议召开和出席情况</w:t>
      </w:r>
    </w:p>
    <w:p>
      <w:pPr>
        <w:wordWrap w:val="0"/>
        <w:spacing w:after="156" w:afterLines="50" w:line="480" w:lineRule="exact"/>
        <w:ind w:firstLine="140" w:firstLineChars="58"/>
        <w:rPr>
          <w:rFonts w:hint="eastAsia" w:ascii="宋体" w:hAnsi="宋体" w:eastAsia="宋体" w:cs="宋体"/>
          <w:b/>
          <w:bCs/>
          <w:sz w:val="24"/>
        </w:rPr>
      </w:pPr>
      <w:r>
        <w:rPr>
          <w:rFonts w:hint="eastAsia" w:ascii="宋体" w:hAnsi="宋体" w:eastAsia="宋体" w:cs="宋体"/>
          <w:b/>
          <w:bCs/>
          <w:sz w:val="24"/>
        </w:rPr>
        <w:t>1 、会议召开情况</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（1）现场会议召开时间：</w:t>
      </w:r>
      <w:r>
        <w:rPr>
          <w:rFonts w:hint="eastAsia" w:ascii="宋体" w:hAnsi="宋体" w:eastAsia="宋体" w:cs="宋体"/>
          <w:sz w:val="24"/>
          <w:lang w:eastAsia="zh-CN"/>
        </w:rPr>
        <w:t>202</w:t>
      </w:r>
      <w:r>
        <w:rPr>
          <w:rFonts w:hint="default" w:ascii="宋体" w:hAnsi="宋体" w:eastAsia="宋体" w:cs="宋体"/>
          <w:sz w:val="24"/>
          <w:lang w:val="en-US" w:eastAsia="zh-CN"/>
        </w:rPr>
        <w:t>4</w:t>
      </w:r>
      <w:r>
        <w:rPr>
          <w:rFonts w:hint="eastAsia" w:ascii="宋体" w:hAnsi="宋体" w:eastAsia="宋体" w:cs="宋体"/>
          <w:sz w:val="24"/>
          <w:lang w:eastAsia="zh-CN"/>
        </w:rPr>
        <w:t>年2月</w:t>
      </w:r>
      <w:r>
        <w:rPr>
          <w:rFonts w:hint="eastAsia" w:ascii="宋体" w:hAnsi="宋体" w:eastAsia="宋体" w:cs="宋体"/>
          <w:sz w:val="24"/>
          <w:lang w:val="en-US" w:eastAsia="zh-CN"/>
        </w:rPr>
        <w:t>2</w:t>
      </w:r>
      <w:r>
        <w:rPr>
          <w:rFonts w:hint="eastAsia" w:ascii="宋体" w:hAnsi="宋体" w:eastAsia="宋体" w:cs="宋体"/>
          <w:sz w:val="24"/>
          <w:lang w:eastAsia="zh-CN"/>
        </w:rPr>
        <w:t>日</w:t>
      </w:r>
      <w:r>
        <w:rPr>
          <w:rFonts w:hint="eastAsia" w:ascii="宋体" w:hAnsi="宋体" w:eastAsia="宋体" w:cs="宋体"/>
          <w:sz w:val="24"/>
        </w:rPr>
        <w:t>（</w:t>
      </w:r>
      <w:r>
        <w:rPr>
          <w:rFonts w:hint="eastAsia" w:ascii="宋体" w:hAnsi="宋体" w:eastAsia="宋体" w:cs="宋体"/>
          <w:sz w:val="24"/>
          <w:lang w:eastAsia="zh-CN"/>
        </w:rPr>
        <w:t>星期</w:t>
      </w:r>
      <w:r>
        <w:rPr>
          <w:rFonts w:hint="eastAsia" w:ascii="宋体" w:hAnsi="宋体" w:eastAsia="宋体" w:cs="宋体"/>
          <w:sz w:val="24"/>
          <w:lang w:val="en-US" w:eastAsia="zh-CN"/>
        </w:rPr>
        <w:t>五</w:t>
      </w:r>
      <w:r>
        <w:rPr>
          <w:rFonts w:hint="eastAsia" w:ascii="宋体" w:hAnsi="宋体" w:eastAsia="宋体" w:cs="宋体"/>
          <w:sz w:val="24"/>
        </w:rPr>
        <w:t>）下午 14:00</w:t>
      </w:r>
      <w:r>
        <w:rPr>
          <w:rFonts w:hint="eastAsia" w:ascii="宋体" w:hAnsi="宋体" w:eastAsia="宋体" w:cs="宋体"/>
          <w:bCs/>
          <w:sz w:val="24"/>
        </w:rPr>
        <w:t>。</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（2）会议召开方式：本次股东大会采用现场投票和网络投票相结合的方式。</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（3）</w:t>
      </w:r>
      <w:r>
        <w:rPr>
          <w:rFonts w:hint="eastAsia" w:ascii="宋体" w:hAnsi="宋体" w:eastAsia="宋体" w:cs="宋体"/>
          <w:sz w:val="24"/>
          <w:szCs w:val="24"/>
        </w:rPr>
        <w:t>网络投票时间：</w:t>
      </w:r>
      <w:r>
        <w:rPr>
          <w:rFonts w:hint="eastAsia" w:ascii="宋体" w:hAnsi="宋体" w:eastAsia="宋体" w:cs="宋体"/>
          <w:sz w:val="24"/>
        </w:rPr>
        <w:t>通过深圳证券交易所交易系统进行网络投票的时间为</w:t>
      </w: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年2月2日的交易时间，即</w:t>
      </w:r>
      <w:r>
        <w:rPr>
          <w:rFonts w:hint="eastAsia" w:ascii="宋体" w:hAnsi="宋体" w:eastAsia="宋体" w:cs="宋体"/>
          <w:sz w:val="24"/>
        </w:rPr>
        <w:t>9:15—9:25，9:30－11:30和13:00－15:00；通过深圳证券交易所互联网系统投票的具体时间为</w:t>
      </w: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年2月2日</w:t>
      </w:r>
      <w:r>
        <w:rPr>
          <w:rFonts w:hint="eastAsia" w:ascii="宋体" w:hAnsi="宋体" w:eastAsia="宋体" w:cs="宋体"/>
          <w:sz w:val="24"/>
        </w:rPr>
        <w:t>9：15至15：00期间的任意时间。</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（4）现场会议召开地点：</w:t>
      </w:r>
      <w:r>
        <w:rPr>
          <w:rFonts w:hint="eastAsia" w:ascii="宋体" w:hAnsi="宋体" w:eastAsia="宋体" w:cs="宋体"/>
          <w:sz w:val="24"/>
        </w:rPr>
        <w:t>山东省青岛市高新技术产业开发区春阳路789号伟隆股份公司三楼会议室以现场方式召开。</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（5）召集人：公司第四届董事会。</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（6）现场会议主持人：公司董事长范庆伟先生。</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（7）本次股东大会会议的召集、召开与表决程序符合《公司法》《上市公司股东大会规则》《深圳证券交易所股票上市规则》及《公司章程》等法律、法规及规范性文件的规定。</w:t>
      </w:r>
    </w:p>
    <w:p>
      <w:pPr>
        <w:wordWrap w:val="0"/>
        <w:spacing w:after="156" w:afterLines="50" w:line="480" w:lineRule="exact"/>
        <w:ind w:firstLine="140" w:firstLineChars="58"/>
        <w:rPr>
          <w:rFonts w:hint="eastAsia" w:ascii="宋体" w:hAnsi="宋体" w:eastAsia="宋体" w:cs="宋体"/>
          <w:b/>
          <w:bCs/>
          <w:sz w:val="24"/>
        </w:rPr>
      </w:pPr>
      <w:r>
        <w:rPr>
          <w:rFonts w:hint="eastAsia" w:ascii="宋体" w:hAnsi="宋体" w:eastAsia="宋体" w:cs="宋体"/>
          <w:b/>
          <w:bCs/>
          <w:sz w:val="24"/>
        </w:rPr>
        <w:t>2 、出席情况</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（1）股东出席会议的总体情况</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通过现场和网络投票的股东</w:t>
      </w:r>
      <w:r>
        <w:rPr>
          <w:rFonts w:hint="eastAsia" w:ascii="宋体" w:hAnsi="宋体" w:eastAsia="宋体" w:cs="宋体"/>
          <w:sz w:val="24"/>
          <w:lang w:val="en-US" w:eastAsia="zh-CN"/>
        </w:rPr>
        <w:t>3</w:t>
      </w:r>
      <w:r>
        <w:rPr>
          <w:rFonts w:hint="eastAsia" w:ascii="宋体" w:hAnsi="宋体" w:eastAsia="宋体" w:cs="宋体"/>
          <w:sz w:val="24"/>
          <w:lang w:eastAsia="zh-CN"/>
        </w:rPr>
        <w:t>人，代表股份</w:t>
      </w:r>
      <w:r>
        <w:rPr>
          <w:rFonts w:hint="eastAsia" w:ascii="宋体" w:hAnsi="宋体" w:eastAsia="宋体" w:cs="宋体"/>
          <w:bCs/>
          <w:sz w:val="24"/>
          <w:szCs w:val="24"/>
          <w:highlight w:val="none"/>
          <w:lang w:eastAsia="zh-CN"/>
        </w:rPr>
        <w:t>141,388,455</w:t>
      </w:r>
      <w:r>
        <w:rPr>
          <w:rFonts w:hint="eastAsia" w:ascii="宋体" w:hAnsi="宋体" w:eastAsia="宋体" w:cs="宋体"/>
          <w:sz w:val="24"/>
          <w:lang w:eastAsia="zh-CN"/>
        </w:rPr>
        <w:t>股，占上市公司总股份的</w:t>
      </w:r>
      <w:bookmarkStart w:id="0" w:name="_GoBack"/>
      <w:bookmarkEnd w:id="0"/>
      <w:r>
        <w:rPr>
          <w:rFonts w:hint="default" w:ascii="宋体" w:hAnsi="宋体" w:eastAsia="宋体" w:cs="宋体"/>
          <w:bCs/>
          <w:sz w:val="24"/>
          <w:szCs w:val="24"/>
          <w:highlight w:val="none"/>
          <w:lang w:val="en-US" w:eastAsia="zh-CN"/>
        </w:rPr>
        <w:t>64.4524</w:t>
      </w:r>
      <w:r>
        <w:rPr>
          <w:rFonts w:hint="eastAsia" w:ascii="宋体" w:hAnsi="宋体" w:eastAsia="宋体" w:cs="宋体"/>
          <w:sz w:val="24"/>
          <w:lang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 xml:space="preserve"> 其中：通过现场投票的股东</w:t>
      </w:r>
      <w:r>
        <w:rPr>
          <w:rFonts w:hint="eastAsia" w:ascii="宋体" w:hAnsi="宋体" w:eastAsia="宋体" w:cs="宋体"/>
          <w:sz w:val="24"/>
          <w:lang w:val="en-US" w:eastAsia="zh-CN"/>
        </w:rPr>
        <w:t>3</w:t>
      </w:r>
      <w:r>
        <w:rPr>
          <w:rFonts w:hint="eastAsia" w:ascii="宋体" w:hAnsi="宋体" w:eastAsia="宋体" w:cs="宋体"/>
          <w:sz w:val="24"/>
          <w:lang w:eastAsia="zh-CN"/>
        </w:rPr>
        <w:t>人，代表股份141,388,455</w:t>
      </w:r>
      <w:r>
        <w:rPr>
          <w:rFonts w:hint="eastAsia" w:ascii="宋体" w:hAnsi="宋体" w:eastAsia="宋体" w:cs="宋体"/>
          <w:sz w:val="24"/>
          <w:lang w:eastAsia="zh-CN"/>
        </w:rPr>
        <w:t>股，占上市公司总股份的64.4524</w:t>
      </w:r>
      <w:r>
        <w:rPr>
          <w:rFonts w:hint="eastAsia" w:ascii="宋体" w:hAnsi="宋体" w:eastAsia="宋体" w:cs="宋体"/>
          <w:sz w:val="24"/>
          <w:lang w:eastAsia="zh-CN"/>
        </w:rPr>
        <w:t>％</w:t>
      </w:r>
      <w:r>
        <w:rPr>
          <w:rFonts w:hint="eastAsia" w:ascii="宋体" w:hAnsi="宋体" w:eastAsia="宋体" w:cs="宋体"/>
          <w:sz w:val="24"/>
          <w:lang w:val="en-US"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通过网络投票的股东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（2）中小股东出席的总体情况：</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通过现场和网络投票的中小股东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其中：通过现场投票的中小股东0人，代表股份0股，占上市公司总股份的0.0000％。</w:t>
      </w:r>
    </w:p>
    <w:p>
      <w:pPr>
        <w:spacing w:line="360" w:lineRule="auto"/>
        <w:rPr>
          <w:rFonts w:hint="eastAsia" w:ascii="宋体" w:hAnsi="宋体" w:eastAsia="宋体" w:cs="宋体"/>
          <w:sz w:val="24"/>
          <w:lang w:eastAsia="zh-CN"/>
        </w:rPr>
      </w:pPr>
      <w:r>
        <w:rPr>
          <w:rFonts w:hint="eastAsia" w:ascii="宋体" w:hAnsi="宋体" w:eastAsia="宋体" w:cs="宋体"/>
          <w:sz w:val="24"/>
          <w:lang w:eastAsia="zh-CN"/>
        </w:rPr>
        <w:t xml:space="preserve">    通过网络投票的中小股东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（3）公司部分董事、监事和董事会秘书出席了本次股东大会，公司高级管理人员和北京德和衡律师事务所见证律师列席了本次股东大会。</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二、议案的审议和表决情况</w:t>
      </w: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textAlignment w:val="auto"/>
        <w:outlineLvl w:val="9"/>
        <w:rPr>
          <w:rFonts w:hint="eastAsia" w:ascii="宋体" w:hAnsi="宋体" w:eastAsia="宋体" w:cs="宋体"/>
          <w:b/>
          <w:bCs w:val="0"/>
          <w:sz w:val="24"/>
          <w:highlight w:val="none"/>
          <w:lang w:val="en-US" w:eastAsia="zh-CN"/>
        </w:rPr>
      </w:pPr>
      <w:r>
        <w:rPr>
          <w:rFonts w:hint="eastAsia" w:ascii="宋体" w:hAnsi="宋体" w:eastAsia="宋体" w:cs="宋体"/>
          <w:b/>
          <w:bCs w:val="0"/>
          <w:sz w:val="24"/>
          <w:highlight w:val="none"/>
          <w:lang w:val="en-US" w:eastAsia="zh-CN"/>
        </w:rPr>
        <w:t>1、审议《关于公司继续持有且不再增加风险投资产品的议案》；</w:t>
      </w:r>
    </w:p>
    <w:p>
      <w:pPr>
        <w:spacing w:line="360" w:lineRule="auto"/>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表决结果：同意</w:t>
      </w:r>
      <w:r>
        <w:rPr>
          <w:rFonts w:hint="eastAsia" w:ascii="宋体" w:hAnsi="宋体" w:eastAsia="宋体" w:cs="宋体"/>
          <w:bCs/>
          <w:sz w:val="24"/>
          <w:szCs w:val="24"/>
          <w:highlight w:val="none"/>
          <w:lang w:eastAsia="zh-CN"/>
        </w:rPr>
        <w:t>141,388,455</w:t>
      </w:r>
      <w:r>
        <w:rPr>
          <w:rFonts w:hint="eastAsia" w:ascii="宋体" w:hAnsi="宋体" w:eastAsia="宋体" w:cs="宋体"/>
          <w:sz w:val="24"/>
          <w:lang w:eastAsia="zh-CN"/>
        </w:rPr>
        <w:t>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rPr>
          <w:rFonts w:hint="eastAsia" w:ascii="宋体" w:hAnsi="宋体" w:eastAsia="宋体" w:cs="宋体"/>
          <w:sz w:val="24"/>
          <w:lang w:eastAsia="zh-CN"/>
        </w:rPr>
      </w:pPr>
    </w:p>
    <w:p>
      <w:pPr>
        <w:spacing w:line="360" w:lineRule="auto"/>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其中中小投资者表决结果为：同意</w:t>
      </w:r>
      <w:r>
        <w:rPr>
          <w:rFonts w:hint="eastAsia" w:ascii="宋体" w:hAnsi="宋体" w:eastAsia="宋体" w:cs="宋体"/>
          <w:sz w:val="24"/>
          <w:lang w:val="en-US" w:eastAsia="zh-CN"/>
        </w:rPr>
        <w:t>0</w:t>
      </w:r>
      <w:r>
        <w:rPr>
          <w:rFonts w:hint="eastAsia" w:ascii="宋体" w:hAnsi="宋体" w:eastAsia="宋体" w:cs="宋体"/>
          <w:sz w:val="24"/>
          <w:lang w:eastAsia="zh-CN"/>
        </w:rPr>
        <w:t>股，占出席会议的中小股东所持股份的0.0000％；反对0股，占出席会议的中小股东所持股份的0.0000％；弃权0股（其中，因未投票默认弃权0股），占出席会议的中小股东所持股份的0.0000％。</w:t>
      </w:r>
    </w:p>
    <w:p>
      <w:pPr>
        <w:wordWrap w:val="0"/>
        <w:spacing w:line="480" w:lineRule="exact"/>
        <w:ind w:firstLine="360" w:firstLineChars="150"/>
        <w:rPr>
          <w:rFonts w:hint="eastAsia" w:ascii="宋体" w:hAnsi="宋体" w:eastAsia="宋体" w:cs="宋体"/>
          <w:bCs/>
          <w:sz w:val="24"/>
          <w:highlight w:val="none"/>
        </w:rPr>
      </w:pP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三、律师出具的法律意见</w:t>
      </w:r>
    </w:p>
    <w:p>
      <w:pPr>
        <w:wordWrap w:val="0"/>
        <w:spacing w:after="156" w:afterLines="50" w:line="480" w:lineRule="exact"/>
        <w:ind w:firstLine="360" w:firstLineChars="150"/>
        <w:rPr>
          <w:rFonts w:hint="eastAsia" w:ascii="宋体" w:hAnsi="宋体" w:eastAsia="宋体" w:cs="宋体"/>
          <w:bCs/>
          <w:sz w:val="24"/>
        </w:rPr>
      </w:pPr>
      <w:r>
        <w:rPr>
          <w:rFonts w:hint="eastAsia" w:ascii="宋体" w:hAnsi="宋体" w:eastAsia="宋体" w:cs="宋体"/>
          <w:bCs/>
          <w:sz w:val="24"/>
        </w:rPr>
        <w:t>北京德和衡律师事务所见证律师认为，本次股东大会的召集和召开程序、召集人和出席会议人员的资格、表决程序和表决结果均符合《公司法》《股东大会规则》《公司章程》及相关法律法规的有关规定，本次股东大会表决结果合法、有效。</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 xml:space="preserve">四、备查文件 </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1、青岛伟隆阀门股份有限公司</w:t>
      </w:r>
      <w:r>
        <w:rPr>
          <w:rFonts w:hint="default" w:ascii="宋体" w:hAnsi="宋体" w:eastAsia="宋体" w:cs="宋体"/>
          <w:kern w:val="0"/>
          <w:sz w:val="24"/>
          <w:lang w:val="en-US" w:eastAsia="zh-CN"/>
        </w:rPr>
        <w:t>2024年第一次临</w:t>
      </w:r>
      <w:r>
        <w:rPr>
          <w:rFonts w:hint="eastAsia" w:ascii="宋体" w:hAnsi="宋体" w:eastAsia="宋体" w:cs="宋体"/>
          <w:kern w:val="0"/>
          <w:sz w:val="24"/>
        </w:rPr>
        <w:t>时股东大会决议；</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2、《北京德和衡律师事务所关于青岛伟隆阀门股份有限公司</w:t>
      </w:r>
      <w:r>
        <w:rPr>
          <w:rFonts w:hint="default" w:ascii="宋体" w:hAnsi="宋体" w:eastAsia="宋体" w:cs="宋体"/>
          <w:kern w:val="0"/>
          <w:sz w:val="24"/>
          <w:lang w:val="en-US" w:eastAsia="zh-CN"/>
        </w:rPr>
        <w:t>2024年第一次临</w:t>
      </w:r>
      <w:r>
        <w:rPr>
          <w:rFonts w:hint="eastAsia" w:ascii="宋体" w:hAnsi="宋体" w:eastAsia="宋体" w:cs="宋体"/>
          <w:kern w:val="0"/>
          <w:sz w:val="24"/>
        </w:rPr>
        <w:t xml:space="preserve">时股东大会的法律意见书》。 </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特此公告！</w:t>
      </w:r>
    </w:p>
    <w:p>
      <w:pPr>
        <w:wordWrap w:val="0"/>
        <w:spacing w:after="156" w:afterLines="50" w:line="480" w:lineRule="exact"/>
        <w:ind w:firstLine="4080" w:firstLineChars="1700"/>
        <w:rPr>
          <w:rFonts w:hint="eastAsia" w:ascii="宋体" w:hAnsi="宋体" w:eastAsia="宋体" w:cs="宋体"/>
          <w:bCs/>
          <w:sz w:val="24"/>
        </w:rPr>
      </w:pPr>
      <w:r>
        <w:rPr>
          <w:rFonts w:hint="eastAsia" w:ascii="宋体" w:hAnsi="宋体" w:eastAsia="宋体" w:cs="宋体"/>
          <w:bCs/>
          <w:sz w:val="24"/>
        </w:rPr>
        <w:t>青岛伟隆阀门股份有限公司</w:t>
      </w:r>
    </w:p>
    <w:p>
      <w:pPr>
        <w:wordWrap w:val="0"/>
        <w:spacing w:after="156" w:afterLines="50" w:line="480" w:lineRule="exact"/>
        <w:ind w:firstLine="5160" w:firstLineChars="2150"/>
        <w:rPr>
          <w:rFonts w:hint="eastAsia" w:ascii="宋体" w:hAnsi="宋体" w:eastAsia="宋体" w:cs="宋体"/>
          <w:bCs/>
          <w:sz w:val="24"/>
        </w:rPr>
      </w:pPr>
      <w:r>
        <w:rPr>
          <w:rFonts w:hint="eastAsia" w:ascii="宋体" w:hAnsi="宋体" w:eastAsia="宋体" w:cs="宋体"/>
          <w:bCs/>
          <w:sz w:val="24"/>
        </w:rPr>
        <w:t>董事会</w:t>
      </w:r>
    </w:p>
    <w:p>
      <w:pPr>
        <w:wordWrap w:val="0"/>
        <w:spacing w:after="156" w:afterLines="50" w:line="480" w:lineRule="exact"/>
        <w:ind w:firstLine="4656" w:firstLineChars="1940"/>
        <w:rPr>
          <w:rFonts w:hint="eastAsia" w:ascii="宋体" w:hAnsi="宋体" w:eastAsia="宋体" w:cs="宋体"/>
          <w:bCs/>
          <w:sz w:val="24"/>
        </w:rPr>
      </w:pPr>
      <w:r>
        <w:rPr>
          <w:rFonts w:hint="eastAsia" w:ascii="宋体" w:hAnsi="宋体" w:eastAsia="宋体" w:cs="宋体"/>
          <w:bCs/>
          <w:sz w:val="24"/>
        </w:rPr>
        <w:t>202</w:t>
      </w:r>
      <w:r>
        <w:rPr>
          <w:rFonts w:hint="eastAsia" w:ascii="宋体" w:hAnsi="宋体" w:eastAsia="宋体" w:cs="宋体"/>
          <w:bCs/>
          <w:sz w:val="24"/>
          <w:lang w:val="en-US" w:eastAsia="zh-CN"/>
        </w:rPr>
        <w:t>4</w:t>
      </w:r>
      <w:r>
        <w:rPr>
          <w:rFonts w:hint="eastAsia" w:ascii="宋体" w:hAnsi="宋体" w:eastAsia="宋体" w:cs="宋体"/>
          <w:bCs/>
          <w:sz w:val="24"/>
        </w:rPr>
        <w:t>年</w:t>
      </w:r>
      <w:r>
        <w:rPr>
          <w:rFonts w:hint="eastAsia" w:ascii="宋体" w:hAnsi="宋体" w:eastAsia="宋体" w:cs="宋体"/>
          <w:bCs/>
          <w:sz w:val="24"/>
          <w:lang w:val="en-US" w:eastAsia="zh-CN"/>
        </w:rPr>
        <w:t>2</w:t>
      </w:r>
      <w:r>
        <w:rPr>
          <w:rFonts w:hint="eastAsia" w:ascii="宋体" w:hAnsi="宋体" w:eastAsia="宋体" w:cs="宋体"/>
          <w:bCs/>
          <w:sz w:val="24"/>
          <w:lang w:eastAsia="zh-CN"/>
        </w:rPr>
        <w:t>月</w:t>
      </w:r>
      <w:r>
        <w:rPr>
          <w:rFonts w:hint="eastAsia" w:ascii="宋体" w:hAnsi="宋体" w:eastAsia="宋体" w:cs="宋体"/>
          <w:bCs/>
          <w:sz w:val="24"/>
          <w:lang w:val="en-US" w:eastAsia="zh-CN"/>
        </w:rPr>
        <w:t>3</w:t>
      </w:r>
      <w:r>
        <w:rPr>
          <w:rFonts w:hint="eastAsia" w:ascii="宋体" w:hAnsi="宋体" w:eastAsia="宋体" w:cs="宋体"/>
          <w:bCs/>
          <w:sz w:val="24"/>
          <w:lang w:eastAsia="zh-CN"/>
        </w:rPr>
        <w:t>日</w:t>
      </w:r>
      <w:r>
        <w:rPr>
          <w:rFonts w:hint="eastAsia" w:ascii="宋体" w:hAnsi="宋体" w:eastAsia="宋体" w:cs="宋体"/>
          <w:bCs/>
          <w:sz w:val="24"/>
        </w:rPr>
        <w:t xml:space="preserve">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lang/>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64EE6"/>
    <w:rsid w:val="00665BF4"/>
    <w:rsid w:val="00670AD8"/>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76EA3"/>
    <w:rsid w:val="00FA1664"/>
    <w:rsid w:val="00FA43AF"/>
    <w:rsid w:val="00FF5193"/>
    <w:rsid w:val="00FF6442"/>
    <w:rsid w:val="01A53733"/>
    <w:rsid w:val="03561124"/>
    <w:rsid w:val="077C4D9E"/>
    <w:rsid w:val="0B3D575C"/>
    <w:rsid w:val="0C37152E"/>
    <w:rsid w:val="0C641AB1"/>
    <w:rsid w:val="0DA142ED"/>
    <w:rsid w:val="0EB80C85"/>
    <w:rsid w:val="102A5457"/>
    <w:rsid w:val="11212166"/>
    <w:rsid w:val="12AF50BB"/>
    <w:rsid w:val="12CB46B8"/>
    <w:rsid w:val="14937C63"/>
    <w:rsid w:val="18F22C7D"/>
    <w:rsid w:val="1B697A59"/>
    <w:rsid w:val="1C034048"/>
    <w:rsid w:val="1DB40C15"/>
    <w:rsid w:val="1EB458DE"/>
    <w:rsid w:val="1ED16490"/>
    <w:rsid w:val="1F874ABE"/>
    <w:rsid w:val="1F8F1A44"/>
    <w:rsid w:val="1FC34144"/>
    <w:rsid w:val="248E3DAD"/>
    <w:rsid w:val="26497BDA"/>
    <w:rsid w:val="266B11A1"/>
    <w:rsid w:val="26B40C95"/>
    <w:rsid w:val="276B6313"/>
    <w:rsid w:val="2CB8189F"/>
    <w:rsid w:val="30895F3F"/>
    <w:rsid w:val="32E3313B"/>
    <w:rsid w:val="35260C73"/>
    <w:rsid w:val="368172E2"/>
    <w:rsid w:val="37116CC3"/>
    <w:rsid w:val="38660A74"/>
    <w:rsid w:val="3D170D39"/>
    <w:rsid w:val="4146140D"/>
    <w:rsid w:val="416A68CA"/>
    <w:rsid w:val="43F3552A"/>
    <w:rsid w:val="47D26466"/>
    <w:rsid w:val="48003C27"/>
    <w:rsid w:val="482E71E3"/>
    <w:rsid w:val="4A3F41B7"/>
    <w:rsid w:val="4B4A0964"/>
    <w:rsid w:val="4CC76658"/>
    <w:rsid w:val="4E714B47"/>
    <w:rsid w:val="55E53FF3"/>
    <w:rsid w:val="570E425E"/>
    <w:rsid w:val="58A52693"/>
    <w:rsid w:val="58B266A4"/>
    <w:rsid w:val="58FB2AC1"/>
    <w:rsid w:val="599A6212"/>
    <w:rsid w:val="5A4C4C2B"/>
    <w:rsid w:val="5BAB4D26"/>
    <w:rsid w:val="5C7E1E47"/>
    <w:rsid w:val="5E3A0E09"/>
    <w:rsid w:val="5E3C2FA1"/>
    <w:rsid w:val="5E5E6EB3"/>
    <w:rsid w:val="60371BF6"/>
    <w:rsid w:val="603911C4"/>
    <w:rsid w:val="68E9239B"/>
    <w:rsid w:val="6D300490"/>
    <w:rsid w:val="6F5A2D18"/>
    <w:rsid w:val="70116B8D"/>
    <w:rsid w:val="73160199"/>
    <w:rsid w:val="751F1964"/>
    <w:rsid w:val="753875CC"/>
    <w:rsid w:val="78223839"/>
    <w:rsid w:val="78770B45"/>
    <w:rsid w:val="7BEA05C4"/>
    <w:rsid w:val="7DC91FB4"/>
    <w:rsid w:val="7E2B51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nhideWhenUsed="0" w:uiPriority="99" w:name="Medium Grid 1"/>
    <w:lsdException w:qFormat="1" w:unhideWhenUsed="0" w:uiPriority="1" w:semiHidden="0" w:name="Medium Grid 2"/>
    <w:lsdException w:unhideWhenUsed="0" w:uiPriority="60" w:semiHidden="0" w:name="Medium Grid 3"/>
    <w:lsdException w:unhideWhenUsed="0" w:uiPriority="61" w:semiHidden="0" w:name="Dark List"/>
    <w:lsdException w:unhideWhenUsed="0" w:uiPriority="62" w:semiHidden="0" w:name="Colorful Shading"/>
    <w:lsdException w:unhideWhenUsed="0" w:uiPriority="63" w:semiHidden="0" w:name="Colorful List"/>
    <w:lsdException w:unhideWhenUsed="0" w:uiPriority="64" w:semiHidden="0" w:name="Colorful Grid"/>
    <w:lsdException w:unhideWhenUsed="0" w:uiPriority="65" w:semiHidden="0" w:name="Light Shading Accent 1"/>
    <w:lsdException w:unhideWhenUsed="0" w:uiPriority="66" w:semiHidden="0" w:name="Light List Accent 1"/>
    <w:lsdException w:unhideWhenUsed="0" w:uiPriority="67" w:semiHidden="0" w:name="Light Grid Accent 1"/>
    <w:lsdException w:unhideWhenUsed="0" w:uiPriority="68" w:semiHidden="0" w:name="Medium Shading 1 Accent 1"/>
    <w:lsdException w:unhideWhenUsed="0" w:uiPriority="69" w:semiHidden="0" w:name="Medium Shading 2 Accent 1"/>
    <w:lsdException w:unhideWhenUsed="0" w:uiPriority="70" w:semiHidden="0" w:name="Medium List 1 Accent 1"/>
    <w:lsdException w:qFormat="1" w:unhideWhenUsed="0" w:uiPriority="99" w:semiHidden="0" w:name="List Paragraph"/>
    <w:lsdException w:unhideWhenUsed="0" w:uiPriority="61" w:semiHidden="0" w:name="Medium List 2 Accent 1"/>
    <w:lsdException w:unhideWhenUsed="0" w:uiPriority="62" w:semiHidden="0" w:name="Medium Grid 1 Accent 1"/>
    <w:lsdException w:unhideWhenUsed="0" w:uiPriority="63" w:semiHidden="0" w:name="Medium Grid 2 Accent 1"/>
    <w:lsdException w:unhideWhenUsed="0" w:uiPriority="64" w:semiHidden="0" w:name="Medium Grid 3 Accent 1"/>
    <w:lsdException w:unhideWhenUsed="0" w:uiPriority="65" w:semiHidden="0" w:name="Dark List Accent 1"/>
    <w:lsdException w:unhideWhenUsed="0" w:uiPriority="99" w:name="Colorful Shading Accent 1"/>
    <w:lsdException w:qFormat="1" w:unhideWhenUsed="0" w:uiPriority="34" w:semiHidden="0" w:name="Colorful List Accent 1"/>
    <w:lsdException w:qFormat="1" w:unhideWhenUsed="0" w:uiPriority="29" w:semiHidden="0" w:name="Colorful Grid Accent 1"/>
    <w:lsdException w:qFormat="1" w:unhideWhenUsed="0" w:uiPriority="30" w:semiHidden="0" w:name="Light Shading Accent 2"/>
    <w:lsdException w:unhideWhenUsed="0" w:uiPriority="66" w:semiHidden="0" w:name="Light List Accent 2"/>
    <w:lsdException w:unhideWhenUsed="0" w:uiPriority="67" w:semiHidden="0" w:name="Light Grid Accent 2"/>
    <w:lsdException w:unhideWhenUsed="0" w:uiPriority="68" w:semiHidden="0" w:name="Medium Shading 1 Accent 2"/>
    <w:lsdException w:unhideWhenUsed="0" w:uiPriority="69" w:semiHidden="0" w:name="Medium Shading 2 Accent 2"/>
    <w:lsdException w:unhideWhenUsed="0" w:uiPriority="70" w:semiHidden="0" w:name="Medium List 1 Accent 2"/>
    <w:lsdException w:unhideWhenUsed="0" w:uiPriority="71" w:semiHidden="0" w:name="Medium List 2 Accent 2"/>
    <w:lsdException w:unhideWhenUsed="0" w:uiPriority="72" w:semiHidden="0" w:name="Medium Grid 1 Accent 2"/>
    <w:lsdException w:unhideWhenUsed="0" w:uiPriority="73" w:semiHidden="0" w:name="Medium Grid 2 Accent 2"/>
    <w:lsdException w:unhideWhenUsed="0" w:uiPriority="60" w:semiHidden="0" w:name="Medium Grid 3 Accent 2"/>
    <w:lsdException w:unhideWhenUsed="0" w:uiPriority="61" w:semiHidden="0" w:name="Dark List Accent 2"/>
    <w:lsdException w:unhideWhenUsed="0" w:uiPriority="62" w:semiHidden="0" w:name="Colorful Shading Accent 2"/>
    <w:lsdException w:unhideWhenUsed="0" w:uiPriority="63" w:semiHidden="0" w:name="Colorful List Accent 2"/>
    <w:lsdException w:unhideWhenUsed="0" w:uiPriority="64" w:semiHidden="0" w:name="Colorful Grid Accent 2"/>
    <w:lsdException w:unhideWhenUsed="0" w:uiPriority="65" w:semiHidden="0" w:name="Light Shading Accent 3"/>
    <w:lsdException w:unhideWhenUsed="0" w:uiPriority="66" w:semiHidden="0" w:name="Light List Accent 3"/>
    <w:lsdException w:unhideWhenUsed="0" w:uiPriority="67" w:semiHidden="0" w:name="Light Grid Accent 3"/>
    <w:lsdException w:unhideWhenUsed="0" w:uiPriority="68" w:semiHidden="0" w:name="Medium Shading 1 Accent 3"/>
    <w:lsdException w:unhideWhenUsed="0" w:uiPriority="69" w:semiHidden="0" w:name="Medium Shading 2 Accent 3"/>
    <w:lsdException w:unhideWhenUsed="0" w:uiPriority="70" w:semiHidden="0" w:name="Medium List 1 Accent 3"/>
    <w:lsdException w:unhideWhenUsed="0" w:uiPriority="71" w:semiHidden="0" w:name="Medium List 2 Accent 3"/>
    <w:lsdException w:unhideWhenUsed="0" w:uiPriority="72" w:semiHidden="0" w:name="Medium Grid 1 Accent 3"/>
    <w:lsdException w:unhideWhenUsed="0" w:uiPriority="73" w:semiHidden="0" w:name="Medium Grid 2 Accent 3"/>
    <w:lsdException w:unhideWhenUsed="0" w:uiPriority="60" w:semiHidden="0" w:name="Medium Grid 3 Accent 3"/>
    <w:lsdException w:unhideWhenUsed="0" w:uiPriority="61" w:semiHidden="0" w:name="Dark List Accent 3"/>
    <w:lsdException w:unhideWhenUsed="0" w:uiPriority="62" w:semiHidden="0" w:name="Colorful Shading Accent 3"/>
    <w:lsdException w:unhideWhenUsed="0" w:uiPriority="63" w:semiHidden="0" w:name="Colorful List Accent 3"/>
    <w:lsdException w:unhideWhenUsed="0" w:uiPriority="64" w:semiHidden="0" w:name="Colorful Grid Accent 3"/>
    <w:lsdException w:unhideWhenUsed="0" w:uiPriority="65" w:semiHidden="0" w:name="Light Shading Accent 4"/>
    <w:lsdException w:unhideWhenUsed="0" w:uiPriority="66" w:semiHidden="0" w:name="Light List Accent 4"/>
    <w:lsdException w:unhideWhenUsed="0" w:uiPriority="67" w:semiHidden="0" w:name="Light Grid Accent 4"/>
    <w:lsdException w:unhideWhenUsed="0" w:uiPriority="68" w:semiHidden="0" w:name="Medium Shading 1 Accent 4"/>
    <w:lsdException w:unhideWhenUsed="0" w:uiPriority="69" w:semiHidden="0" w:name="Medium Shading 2 Accent 4"/>
    <w:lsdException w:unhideWhenUsed="0" w:uiPriority="70" w:semiHidden="0" w:name="Medium List 1 Accent 4"/>
    <w:lsdException w:unhideWhenUsed="0" w:uiPriority="71" w:semiHidden="0" w:name="Medium List 2 Accent 4"/>
    <w:lsdException w:unhideWhenUsed="0" w:uiPriority="72" w:semiHidden="0" w:name="Medium Grid 1 Accent 4"/>
    <w:lsdException w:unhideWhenUsed="0" w:uiPriority="73" w:semiHidden="0" w:name="Medium Grid 2 Accent 4"/>
    <w:lsdException w:unhideWhenUsed="0" w:uiPriority="60" w:semiHidden="0" w:name="Medium Grid 3 Accent 4"/>
    <w:lsdException w:unhideWhenUsed="0" w:uiPriority="61" w:semiHidden="0" w:name="Dark List Accent 4"/>
    <w:lsdException w:unhideWhenUsed="0" w:uiPriority="62" w:semiHidden="0" w:name="Colorful Shading Accent 4"/>
    <w:lsdException w:unhideWhenUsed="0" w:uiPriority="63" w:semiHidden="0" w:name="Colorful List Accent 4"/>
    <w:lsdException w:unhideWhenUsed="0" w:uiPriority="64" w:semiHidden="0" w:name="Colorful Grid Accent 4"/>
    <w:lsdException w:unhideWhenUsed="0" w:uiPriority="65" w:semiHidden="0" w:name="Light Shading Accent 5"/>
    <w:lsdException w:unhideWhenUsed="0" w:uiPriority="66" w:semiHidden="0" w:name="Light List Accent 5"/>
    <w:lsdException w:unhideWhenUsed="0" w:uiPriority="67" w:semiHidden="0" w:name="Light Grid Accent 5"/>
    <w:lsdException w:unhideWhenUsed="0" w:uiPriority="68" w:semiHidden="0" w:name="Medium Shading 1 Accent 5"/>
    <w:lsdException w:unhideWhenUsed="0" w:uiPriority="69" w:semiHidden="0" w:name="Medium Shading 2 Accent 5"/>
    <w:lsdException w:unhideWhenUsed="0" w:uiPriority="70" w:semiHidden="0" w:name="Medium List 1 Accent 5"/>
    <w:lsdException w:unhideWhenUsed="0" w:uiPriority="71" w:semiHidden="0" w:name="Medium List 2 Accent 5"/>
    <w:lsdException w:unhideWhenUsed="0" w:uiPriority="72" w:semiHidden="0" w:name="Medium Grid 1 Accent 5"/>
    <w:lsdException w:unhideWhenUsed="0" w:uiPriority="73" w:semiHidden="0" w:name="Medium Grid 2 Accent 5"/>
    <w:lsdException w:unhideWhenUsed="0" w:uiPriority="60" w:semiHidden="0" w:name="Medium Grid 3 Accent 5"/>
    <w:lsdException w:unhideWhenUsed="0" w:uiPriority="61" w:semiHidden="0" w:name="Dark List Accent 5"/>
    <w:lsdException w:unhideWhenUsed="0" w:uiPriority="62" w:semiHidden="0" w:name="Colorful Shading Accent 5"/>
    <w:lsdException w:unhideWhenUsed="0" w:uiPriority="63" w:semiHidden="0" w:name="Colorful List Accent 5"/>
    <w:lsdException w:unhideWhenUsed="0" w:uiPriority="64" w:semiHidden="0" w:name="Colorful Grid Accent 5"/>
    <w:lsdException w:unhideWhenUsed="0" w:uiPriority="65" w:semiHidden="0" w:name="Light Shading Accent 6"/>
    <w:lsdException w:unhideWhenUsed="0" w:uiPriority="66" w:semiHidden="0" w:name="Light List Accent 6"/>
    <w:lsdException w:unhideWhenUsed="0" w:uiPriority="67" w:semiHidden="0" w:name="Light Grid Accent 6"/>
    <w:lsdException w:unhideWhenUsed="0" w:uiPriority="68" w:semiHidden="0" w:name="Medium Shading 1 Accent 6"/>
    <w:lsdException w:unhideWhenUsed="0" w:uiPriority="69" w:semiHidden="0" w:name="Medium Shading 2 Accent 6"/>
    <w:lsdException w:unhideWhenUsed="0" w:uiPriority="70" w:semiHidden="0" w:name="Medium List 1 Accent 6"/>
    <w:lsdException w:unhideWhenUsed="0" w:uiPriority="71" w:semiHidden="0" w:name="Medium List 2 Accent 6"/>
    <w:lsdException w:unhideWhenUsed="0" w:uiPriority="72" w:semiHidden="0" w:name="Medium Grid 1 Accent 6"/>
    <w:lsdException w:unhideWhenUsed="0" w:uiPriority="73" w:semiHidden="0" w:name="Medium Grid 2 Accent 6"/>
    <w:lsdException w:unhideWhenUsed="0" w:uiPriority="60" w:semiHidden="0" w:name="Medium Grid 3 Accent 6"/>
    <w:lsdException w:unhideWhenUsed="0" w:uiPriority="61" w:semiHidden="0" w:name="Dark List Accent 6"/>
    <w:lsdException w:unhideWhenUsed="0" w:uiPriority="62" w:semiHidden="0" w:name="Colorful Shading Accent 6"/>
    <w:lsdException w:unhideWhenUsed="0" w:uiPriority="63" w:semiHidden="0" w:name="Colorful List Accent 6"/>
    <w:lsdException w:unhideWhenUsed="0" w:uiPriority="64"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10">
    <w:name w:val="Default Paragraph Font"/>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2">
    <w:name w:val="annotation text"/>
    <w:basedOn w:val="1"/>
    <w:link w:val="13"/>
    <w:uiPriority w:val="0"/>
    <w:pPr>
      <w:jc w:val="left"/>
    </w:pPr>
  </w:style>
  <w:style w:type="paragraph" w:styleId="3">
    <w:name w:val="Body Text"/>
    <w:basedOn w:val="1"/>
    <w:uiPriority w:val="0"/>
    <w:pPr>
      <w:jc w:val="center"/>
    </w:pPr>
    <w:rPr>
      <w:rFonts w:eastAsia="黑体"/>
      <w:sz w:val="32"/>
    </w:rPr>
  </w:style>
  <w:style w:type="paragraph" w:styleId="4">
    <w:name w:val="Date"/>
    <w:basedOn w:val="1"/>
    <w:next w:val="1"/>
    <w:link w:val="14"/>
    <w:uiPriority w:val="0"/>
    <w:pPr>
      <w:ind w:left="100" w:leftChars="2500"/>
    </w:pPr>
  </w:style>
  <w:style w:type="paragraph" w:styleId="5">
    <w:name w:val="Balloon Text"/>
    <w:basedOn w:val="1"/>
    <w:uiPriority w:val="0"/>
    <w:rPr>
      <w:sz w:val="18"/>
      <w:szCs w:val="18"/>
    </w:rPr>
  </w:style>
  <w:style w:type="paragraph" w:styleId="6">
    <w:name w:val="footer"/>
    <w:basedOn w:val="1"/>
    <w:link w:val="15"/>
    <w:uiPriority w:val="0"/>
    <w:pPr>
      <w:tabs>
        <w:tab w:val="center" w:pos="4153"/>
        <w:tab w:val="right" w:pos="8306"/>
      </w:tabs>
      <w:snapToGrid w:val="0"/>
      <w:jc w:val="left"/>
    </w:pPr>
    <w:rPr>
      <w:kern w:val="0"/>
      <w:sz w:val="18"/>
      <w:szCs w:val="18"/>
    </w:rPr>
  </w:style>
  <w:style w:type="paragraph" w:styleId="7">
    <w:name w:val="header"/>
    <w:basedOn w:val="1"/>
    <w:link w:val="16"/>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7"/>
    <w:uiPriority w:val="0"/>
    <w:rPr>
      <w:b/>
      <w:bCs/>
    </w:rPr>
  </w:style>
  <w:style w:type="character" w:styleId="11">
    <w:name w:val="page number"/>
    <w:basedOn w:val="10"/>
    <w:uiPriority w:val="0"/>
  </w:style>
  <w:style w:type="character" w:styleId="12">
    <w:name w:val="annotation reference"/>
    <w:uiPriority w:val="0"/>
    <w:rPr>
      <w:sz w:val="21"/>
      <w:szCs w:val="21"/>
    </w:rPr>
  </w:style>
  <w:style w:type="character" w:customStyle="1" w:styleId="13">
    <w:name w:val="批注文字 Char"/>
    <w:link w:val="2"/>
    <w:uiPriority w:val="0"/>
    <w:rPr>
      <w:rFonts w:ascii="Times New Roman" w:hAnsi="Times New Roman"/>
      <w:kern w:val="2"/>
      <w:sz w:val="21"/>
      <w:szCs w:val="24"/>
    </w:rPr>
  </w:style>
  <w:style w:type="character" w:customStyle="1" w:styleId="14">
    <w:name w:val="日期 Char"/>
    <w:basedOn w:val="10"/>
    <w:link w:val="4"/>
    <w:uiPriority w:val="0"/>
    <w:rPr>
      <w:rFonts w:ascii="Times New Roman" w:hAnsi="Times New Roman"/>
      <w:kern w:val="2"/>
      <w:sz w:val="21"/>
      <w:szCs w:val="24"/>
    </w:rPr>
  </w:style>
  <w:style w:type="character" w:customStyle="1" w:styleId="15">
    <w:name w:val="页脚 Char"/>
    <w:link w:val="6"/>
    <w:uiPriority w:val="0"/>
    <w:rPr>
      <w:rFonts w:ascii="Times New Roman" w:hAnsi="Times New Roman" w:eastAsia="宋体" w:cs="Times New Roman"/>
      <w:sz w:val="18"/>
      <w:szCs w:val="18"/>
    </w:rPr>
  </w:style>
  <w:style w:type="character" w:customStyle="1" w:styleId="16">
    <w:name w:val="页眉 Char"/>
    <w:link w:val="7"/>
    <w:uiPriority w:val="99"/>
    <w:rPr>
      <w:rFonts w:ascii="Times New Roman" w:hAnsi="Times New Roman"/>
      <w:kern w:val="2"/>
      <w:sz w:val="18"/>
      <w:szCs w:val="18"/>
    </w:rPr>
  </w:style>
  <w:style w:type="character" w:customStyle="1" w:styleId="17">
    <w:name w:val="批注主题 Char"/>
    <w:link w:val="8"/>
    <w:uiPriority w:val="0"/>
    <w:rPr>
      <w:rFonts w:ascii="Times New Roman" w:hAnsi="Times New Roman"/>
      <w:b/>
      <w:bCs/>
      <w:kern w:val="2"/>
      <w:sz w:val="21"/>
      <w:szCs w:val="24"/>
    </w:rPr>
  </w:style>
  <w:style w:type="paragraph" w:customStyle="1" w:styleId="18">
    <w:name w:val="默认段落字体 Para Char Char Char Char Char Char Char"/>
    <w:basedOn w:val="1"/>
    <w:uiPriority w:val="0"/>
    <w:pPr>
      <w:tabs>
        <w:tab w:val="left" w:pos="4665"/>
        <w:tab w:val="left" w:pos="8970"/>
      </w:tabs>
      <w:ind w:firstLine="400"/>
    </w:pPr>
    <w:rPr>
      <w:rFonts w:ascii="Tahoma" w:hAnsi="Tahoma"/>
      <w:sz w:val="24"/>
      <w:szCs w:val="20"/>
    </w:rPr>
  </w:style>
  <w:style w:type="paragraph" w:customStyle="1" w:styleId="19">
    <w:name w:val="p0"/>
    <w:basedOn w:val="1"/>
    <w:uiPriority w:val="0"/>
    <w:pPr>
      <w:widowControl/>
      <w:jc w:val="left"/>
    </w:pPr>
    <w:rPr>
      <w:kern w:val="0"/>
      <w:szCs w:val="21"/>
    </w:rPr>
  </w:style>
  <w:style w:type="paragraph" w:customStyle="1" w:styleId="20">
    <w:name w:val="Defaul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1">
    <w:name w:val="p15"/>
    <w:basedOn w:val="1"/>
    <w:uiPriority w:val="0"/>
    <w:pPr>
      <w:widowControl/>
      <w:spacing w:after="120"/>
    </w:pPr>
    <w:rPr>
      <w:rFonts w:ascii="宋体" w:hAnsi="宋体" w:cs="宋体"/>
      <w:kern w:val="0"/>
      <w:szCs w:val="21"/>
    </w:rPr>
  </w:style>
  <w:style w:type="paragraph" w:customStyle="1" w:styleId="22">
    <w:name w:val="Char"/>
    <w:basedOn w:val="1"/>
    <w:uiPriority w:val="0"/>
    <w:pPr>
      <w:tabs>
        <w:tab w:val="left" w:pos="360"/>
      </w:tabs>
    </w:pPr>
    <w:rPr>
      <w:sz w:val="24"/>
    </w:rPr>
  </w:style>
  <w:style w:type="paragraph" w:customStyle="1" w:styleId="23">
    <w:name w:val=" Char2 Char Char Char Char Char Char"/>
    <w:basedOn w:val="1"/>
    <w:uiPriority w:val="0"/>
    <w:pPr>
      <w:widowControl/>
      <w:spacing w:after="160" w:afterLines="0" w:line="240" w:lineRule="exact"/>
      <w:jc w:val="left"/>
    </w:pPr>
    <w:rPr>
      <w:kern w:val="0"/>
      <w:sz w:val="20"/>
      <w:szCs w:val="20"/>
      <w:lang/>
    </w:rPr>
  </w:style>
  <w:style w:type="paragraph" w:customStyle="1" w:styleId="24">
    <w:name w:val=" Char Char Char Char Char Char Char"/>
    <w:basedOn w:val="1"/>
    <w:uiPriority w:val="0"/>
    <w:pPr>
      <w:widowControl/>
      <w:spacing w:after="160" w:afterLines="0" w:line="240" w:lineRule="exact"/>
      <w:jc w:val="left"/>
    </w:pPr>
    <w:rPr>
      <w:rFonts w:ascii="Verdana" w:hAnsi="Verdana"/>
      <w:kern w:val="0"/>
      <w:sz w:val="20"/>
      <w:szCs w:val="20"/>
      <w:lang w:eastAsia="en-US"/>
    </w:rPr>
  </w:style>
  <w:style w:type="paragraph" w:styleId="25">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Template>
  <Pages>14</Pages>
  <Words>7653</Words>
  <Characters>9536</Characters>
  <Lines>17</Lines>
  <Paragraphs>4</Paragraphs>
  <TotalTime>0</TotalTime>
  <ScaleCrop>false</ScaleCrop>
  <LinksUpToDate>false</LinksUpToDate>
  <CharactersWithSpaces>9586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2010-01-30T03:11:00Z</dcterms:created>
  <dc:creator>lkp</dc:creator>
  <cp:lastModifiedBy>Mr.翔</cp:lastModifiedBy>
  <cp:lastPrinted>2009-07-31T05:57:00Z</cp:lastPrinted>
  <dcterms:modified xsi:type="dcterms:W3CDTF">2024-02-02T08:12:05Z</dcterms:modified>
  <dc:title>股份有限公司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03D025739B4044C19B32672965CEED00_13</vt:lpwstr>
  </property>
</Properties>
</file>